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34C" w:rsidRDefault="00BC534C" w:rsidP="00BC534C">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BC534C" w:rsidRDefault="00BC534C" w:rsidP="00BC534C">
      <w:pPr>
        <w:autoSpaceDE w:val="0"/>
        <w:autoSpaceDN w:val="0"/>
        <w:adjustRightInd w:val="0"/>
        <w:jc w:val="center"/>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BC534C">
        <w:tc>
          <w:tcPr>
            <w:tcW w:w="5103" w:type="dxa"/>
          </w:tcPr>
          <w:p w:rsidR="00BC534C" w:rsidRDefault="00BC534C">
            <w:pPr>
              <w:autoSpaceDE w:val="0"/>
              <w:autoSpaceDN w:val="0"/>
              <w:adjustRightInd w:val="0"/>
              <w:outlineLvl w:val="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tc>
        <w:tc>
          <w:tcPr>
            <w:tcW w:w="5103" w:type="dxa"/>
          </w:tcPr>
          <w:p w:rsidR="00BC534C" w:rsidRDefault="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N 147</w:t>
            </w:r>
          </w:p>
        </w:tc>
      </w:tr>
    </w:tbl>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УКАЗ</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ПРЕЗИДЕНТА РОССИЙСКОЙ ФЕДЕРАЦИИ</w:t>
      </w:r>
    </w:p>
    <w:p w:rsidR="00BC534C" w:rsidRDefault="00BC534C" w:rsidP="00BC534C">
      <w:pPr>
        <w:autoSpaceDE w:val="0"/>
        <w:autoSpaceDN w:val="0"/>
        <w:adjustRightInd w:val="0"/>
        <w:jc w:val="center"/>
        <w:rPr>
          <w:rFonts w:ascii="Arial" w:eastAsiaTheme="minorHAnsi" w:hAnsi="Arial" w:cs="Arial"/>
          <w:b/>
          <w:bCs/>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НАЦИОНАЛЬНОМ ПЛАНЕ</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соответствии с </w:t>
      </w:r>
      <w:hyperlink r:id="rId8" w:history="1">
        <w:r>
          <w:rPr>
            <w:rFonts w:ascii="Arial" w:eastAsiaTheme="minorHAnsi" w:hAnsi="Arial" w:cs="Arial"/>
            <w:color w:val="0000FF"/>
            <w:sz w:val="20"/>
            <w:szCs w:val="20"/>
            <w:lang w:eastAsia="en-US"/>
          </w:rPr>
          <w:t>пунктом 1 части 1 статьи 5</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постановляю: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Утвердить прилагаемый Национальный </w:t>
      </w:r>
      <w:hyperlink w:anchor="Par57" w:history="1">
        <w:r>
          <w:rPr>
            <w:rFonts w:ascii="Arial" w:eastAsiaTheme="minorHAnsi" w:hAnsi="Arial" w:cs="Arial"/>
            <w:color w:val="0000FF"/>
            <w:sz w:val="20"/>
            <w:szCs w:val="20"/>
            <w:lang w:eastAsia="en-US"/>
          </w:rPr>
          <w:t>план</w:t>
        </w:r>
      </w:hyperlink>
      <w:r>
        <w:rPr>
          <w:rFonts w:ascii="Arial" w:eastAsiaTheme="minorHAnsi" w:hAnsi="Arial" w:cs="Arial"/>
          <w:sz w:val="20"/>
          <w:szCs w:val="20"/>
          <w:lang w:eastAsia="en-US"/>
        </w:rPr>
        <w:t xml:space="preserve">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 w:name="Par13"/>
      <w:bookmarkEnd w:id="1"/>
      <w:r>
        <w:rPr>
          <w:rFonts w:ascii="Arial" w:eastAsiaTheme="minorHAnsi" w:hAnsi="Arial" w:cs="Arial"/>
          <w:sz w:val="20"/>
          <w:szCs w:val="20"/>
          <w:lang w:eastAsia="en-US"/>
        </w:rPr>
        <w:t xml:space="preserve">2. Руководителям федеральных государственных органов, руководствуясь Национальной </w:t>
      </w:r>
      <w:hyperlink r:id="rId9"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ar13" w:history="1">
        <w:r>
          <w:rPr>
            <w:rFonts w:ascii="Arial" w:eastAsiaTheme="minorHAnsi" w:hAnsi="Arial" w:cs="Arial"/>
            <w:color w:val="0000FF"/>
            <w:sz w:val="20"/>
            <w:szCs w:val="20"/>
            <w:lang w:eastAsia="en-US"/>
          </w:rPr>
          <w:t>пункта 2</w:t>
        </w:r>
      </w:hyperlink>
      <w:r>
        <w:rPr>
          <w:rFonts w:ascii="Arial" w:eastAsiaTheme="minorHAnsi" w:hAnsi="Arial" w:cs="Arial"/>
          <w:sz w:val="20"/>
          <w:szCs w:val="20"/>
          <w:lang w:eastAsia="en-US"/>
        </w:rPr>
        <w:t xml:space="preserve"> настоящего Указа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Рекомендовать Верховному Суду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2" w:name="Par18"/>
      <w:bookmarkEnd w:id="2"/>
      <w:r>
        <w:rPr>
          <w:rFonts w:ascii="Arial" w:eastAsiaTheme="minorHAnsi" w:hAnsi="Arial" w:cs="Arial"/>
          <w:sz w:val="20"/>
          <w:szCs w:val="20"/>
          <w:lang w:eastAsia="en-US"/>
        </w:rPr>
        <w:t>а) подготовить и утвердить: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разрешением споров о применении </w:t>
      </w:r>
      <w:hyperlink r:id="rId10" w:history="1">
        <w:r>
          <w:rPr>
            <w:rFonts w:ascii="Arial" w:eastAsiaTheme="minorHAnsi" w:hAnsi="Arial" w:cs="Arial"/>
            <w:color w:val="0000FF"/>
            <w:sz w:val="20"/>
            <w:szCs w:val="20"/>
            <w:lang w:eastAsia="en-US"/>
          </w:rPr>
          <w:t>пункта 9 части 1 статьи 31</w:t>
        </w:r>
      </w:hyperlink>
      <w:r>
        <w:rPr>
          <w:rFonts w:ascii="Arial" w:eastAsiaTheme="minorHAnsi" w:hAnsi="Arial" w:cs="Arial"/>
          <w:sz w:val="20"/>
          <w:szCs w:val="20"/>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обзор судебной практики по делам, связанным с привлечением к административной ответственности, предусмотренной </w:t>
      </w:r>
      <w:hyperlink r:id="rId11" w:history="1">
        <w:r>
          <w:rPr>
            <w:rFonts w:ascii="Arial" w:eastAsiaTheme="minorHAnsi" w:hAnsi="Arial" w:cs="Arial"/>
            <w:color w:val="0000FF"/>
            <w:sz w:val="20"/>
            <w:szCs w:val="20"/>
            <w:lang w:eastAsia="en-US"/>
          </w:rPr>
          <w:t>статьей 19.29</w:t>
        </w:r>
      </w:hyperlink>
      <w:r>
        <w:rPr>
          <w:rFonts w:ascii="Arial" w:eastAsiaTheme="minorHAnsi" w:hAnsi="Arial" w:cs="Arial"/>
          <w:sz w:val="20"/>
          <w:szCs w:val="20"/>
          <w:lang w:eastAsia="en-US"/>
        </w:rPr>
        <w:t xml:space="preserve"> Кодекса Российской Федерации об административных правонарушениях, -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опубликование в установленном порядке обзоров судебной практики, указанных в </w:t>
      </w:r>
      <w:hyperlink w:anchor="Par18"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3" w:name="Par23"/>
      <w:bookmarkEnd w:id="3"/>
      <w:r>
        <w:rPr>
          <w:rFonts w:ascii="Arial" w:eastAsiaTheme="minorHAnsi" w:hAnsi="Arial" w:cs="Arial"/>
          <w:sz w:val="20"/>
          <w:szCs w:val="20"/>
          <w:lang w:eastAsia="en-US"/>
        </w:rPr>
        <w:t>в) совместно с Судебным департаментом при Верховном Суде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доработать с учетом правоприменительной практики Методические </w:t>
      </w:r>
      <w:hyperlink r:id="rId12" w:history="1">
        <w:r>
          <w:rPr>
            <w:rFonts w:ascii="Arial" w:eastAsiaTheme="minorHAnsi" w:hAnsi="Arial" w:cs="Arial"/>
            <w:color w:val="0000FF"/>
            <w:sz w:val="20"/>
            <w:szCs w:val="20"/>
            <w:lang w:eastAsia="en-US"/>
          </w:rPr>
          <w:t>рекомендации</w:t>
        </w:r>
      </w:hyperlink>
      <w:r>
        <w:rPr>
          <w:rFonts w:ascii="Arial" w:eastAsiaTheme="minorHAnsi" w:hAnsi="Arial" w:cs="Arial"/>
          <w:sz w:val="20"/>
          <w:szCs w:val="20"/>
          <w:lang w:eastAsia="en-US"/>
        </w:rP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Доклад о результатах исполнения </w:t>
      </w:r>
      <w:hyperlink w:anchor="Par23" w:history="1">
        <w:r>
          <w:rPr>
            <w:rFonts w:ascii="Arial" w:eastAsiaTheme="minorHAnsi" w:hAnsi="Arial" w:cs="Arial"/>
            <w:color w:val="0000FF"/>
            <w:sz w:val="20"/>
            <w:szCs w:val="20"/>
            <w:lang w:eastAsia="en-US"/>
          </w:rPr>
          <w:t>подпункта "в"</w:t>
        </w:r>
      </w:hyperlink>
      <w:r>
        <w:rPr>
          <w:rFonts w:ascii="Arial" w:eastAsiaTheme="minorHAnsi" w:hAnsi="Arial" w:cs="Arial"/>
          <w:sz w:val="20"/>
          <w:szCs w:val="20"/>
          <w:lang w:eastAsia="en-US"/>
        </w:rPr>
        <w:t xml:space="preserve">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февраля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4" w:name="Par32"/>
      <w:bookmarkEnd w:id="4"/>
      <w:r>
        <w:rPr>
          <w:rFonts w:ascii="Arial" w:eastAsiaTheme="minorHAnsi" w:hAnsi="Arial" w:cs="Arial"/>
          <w:sz w:val="20"/>
          <w:szCs w:val="20"/>
          <w:lang w:eastAsia="en-US"/>
        </w:rP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4" w:history="1">
        <w:r>
          <w:rPr>
            <w:rFonts w:ascii="Arial" w:eastAsiaTheme="minorHAnsi" w:hAnsi="Arial" w:cs="Arial"/>
            <w:color w:val="0000FF"/>
            <w:sz w:val="20"/>
            <w:szCs w:val="20"/>
            <w:lang w:eastAsia="en-US"/>
          </w:rPr>
          <w:t>стратегией</w:t>
        </w:r>
      </w:hyperlink>
      <w:r>
        <w:rPr>
          <w:rFonts w:ascii="Arial" w:eastAsiaTheme="minorHAnsi" w:hAnsi="Arial" w:cs="Arial"/>
          <w:sz w:val="20"/>
          <w:szCs w:val="20"/>
          <w:lang w:eastAsia="en-US"/>
        </w:rPr>
        <w:t xml:space="preserve"> противодействия коррупции, утвержденной Указом Президента Российской Федерации от 13 апреля 2010 г. N 460, и Национальным </w:t>
      </w:r>
      <w:hyperlink w:anchor="Par57" w:history="1">
        <w:r>
          <w:rPr>
            <w:rFonts w:ascii="Arial" w:eastAsiaTheme="minorHAnsi" w:hAnsi="Arial" w:cs="Arial"/>
            <w:color w:val="0000FF"/>
            <w:sz w:val="20"/>
            <w:szCs w:val="20"/>
            <w:lang w:eastAsia="en-US"/>
          </w:rPr>
          <w:t>планом</w:t>
        </w:r>
      </w:hyperlink>
      <w:r>
        <w:rPr>
          <w:rFonts w:ascii="Arial" w:eastAsiaTheme="minorHAnsi" w:hAnsi="Arial" w:cs="Arial"/>
          <w:sz w:val="20"/>
          <w:szCs w:val="20"/>
          <w:lang w:eastAsia="en-US"/>
        </w:rP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5" w:name="Par33"/>
      <w:bookmarkEnd w:id="5"/>
      <w:r>
        <w:rPr>
          <w:rFonts w:ascii="Arial" w:eastAsiaTheme="minorHAnsi" w:hAnsi="Arial" w:cs="Arial"/>
          <w:sz w:val="20"/>
          <w:szCs w:val="20"/>
          <w:lang w:eastAsia="en-US"/>
        </w:rP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результатах исполнения </w:t>
      </w:r>
      <w:hyperlink w:anchor="Par32" w:history="1">
        <w:r>
          <w:rPr>
            <w:rFonts w:ascii="Arial" w:eastAsiaTheme="minorHAnsi" w:hAnsi="Arial" w:cs="Arial"/>
            <w:color w:val="0000FF"/>
            <w:sz w:val="20"/>
            <w:szCs w:val="20"/>
            <w:lang w:eastAsia="en-US"/>
          </w:rPr>
          <w:t>пункта 10</w:t>
        </w:r>
      </w:hyperlink>
      <w:r>
        <w:rPr>
          <w:rFonts w:ascii="Arial" w:eastAsiaTheme="minorHAnsi" w:hAnsi="Arial" w:cs="Arial"/>
          <w:sz w:val="20"/>
          <w:szCs w:val="20"/>
          <w:lang w:eastAsia="en-US"/>
        </w:rPr>
        <w:t xml:space="preserve"> настоящего Указа в части, касающейся выполнения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 выполнении мероприятий, предусмотренных названными программами (планами), а также </w:t>
      </w:r>
      <w:hyperlink w:anchor="Par142" w:history="1">
        <w:r>
          <w:rPr>
            <w:rFonts w:ascii="Arial" w:eastAsiaTheme="minorHAnsi" w:hAnsi="Arial" w:cs="Arial"/>
            <w:color w:val="0000FF"/>
            <w:sz w:val="20"/>
            <w:szCs w:val="20"/>
            <w:lang w:eastAsia="en-US"/>
          </w:rPr>
          <w:t>пунктов 5</w:t>
        </w:r>
      </w:hyperlink>
      <w:r>
        <w:rPr>
          <w:rFonts w:ascii="Arial" w:eastAsiaTheme="minorHAnsi" w:hAnsi="Arial" w:cs="Arial"/>
          <w:sz w:val="20"/>
          <w:szCs w:val="20"/>
          <w:lang w:eastAsia="en-US"/>
        </w:rPr>
        <w:t xml:space="preserve"> и </w:t>
      </w:r>
      <w:hyperlink w:anchor="Par153" w:history="1">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Национального плана противодействия коррупции на 2016 - 2017 годы, утвержденного настоящим Указом, - до 20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В.ПУТИН</w:t>
      </w:r>
    </w:p>
    <w:p w:rsidR="00BC534C" w:rsidRDefault="00BC534C" w:rsidP="00BC534C">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1 апреля 2016 года</w:t>
      </w:r>
    </w:p>
    <w:p w:rsidR="00BC534C" w:rsidRDefault="00BC534C" w:rsidP="00BC534C">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147</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jc w:val="right"/>
        <w:outlineLvl w:val="0"/>
        <w:rPr>
          <w:rFonts w:ascii="Arial" w:eastAsiaTheme="minorHAnsi" w:hAnsi="Arial" w:cs="Arial"/>
          <w:sz w:val="20"/>
          <w:szCs w:val="20"/>
          <w:lang w:eastAsia="en-US"/>
        </w:rPr>
      </w:pPr>
      <w:r>
        <w:rPr>
          <w:rFonts w:ascii="Arial" w:eastAsiaTheme="minorHAnsi" w:hAnsi="Arial" w:cs="Arial"/>
          <w:sz w:val="20"/>
          <w:szCs w:val="20"/>
          <w:lang w:eastAsia="en-US"/>
        </w:rPr>
        <w:t>Утвержден</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Указом Президента</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BC534C" w:rsidRDefault="00BC534C" w:rsidP="00BC534C">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от 1 апреля 2016 г. N 147</w:t>
      </w:r>
    </w:p>
    <w:p w:rsidR="00BC534C" w:rsidRDefault="00BC534C" w:rsidP="00BC534C">
      <w:pPr>
        <w:autoSpaceDE w:val="0"/>
        <w:autoSpaceDN w:val="0"/>
        <w:adjustRightInd w:val="0"/>
        <w:jc w:val="center"/>
        <w:rPr>
          <w:rFonts w:ascii="Arial" w:eastAsiaTheme="minorHAnsi" w:hAnsi="Arial" w:cs="Arial"/>
          <w:sz w:val="20"/>
          <w:szCs w:val="20"/>
          <w:lang w:eastAsia="en-US"/>
        </w:rPr>
      </w:pPr>
    </w:p>
    <w:p w:rsidR="00BC534C" w:rsidRDefault="00BC534C" w:rsidP="00BC534C">
      <w:pPr>
        <w:autoSpaceDE w:val="0"/>
        <w:autoSpaceDN w:val="0"/>
        <w:adjustRightInd w:val="0"/>
        <w:jc w:val="center"/>
        <w:rPr>
          <w:rFonts w:ascii="Arial" w:eastAsiaTheme="minorHAnsi" w:hAnsi="Arial" w:cs="Arial"/>
          <w:b/>
          <w:bCs/>
          <w:sz w:val="20"/>
          <w:szCs w:val="20"/>
          <w:lang w:eastAsia="en-US"/>
        </w:rPr>
      </w:pPr>
      <w:bookmarkStart w:id="6" w:name="Par57"/>
      <w:bookmarkEnd w:id="6"/>
      <w:r>
        <w:rPr>
          <w:rFonts w:ascii="Arial" w:eastAsiaTheme="minorHAnsi" w:hAnsi="Arial" w:cs="Arial"/>
          <w:b/>
          <w:bCs/>
          <w:sz w:val="20"/>
          <w:szCs w:val="20"/>
          <w:lang w:eastAsia="en-US"/>
        </w:rPr>
        <w:t>НАЦИОНАЛЬНЫЙ ПЛАН</w:t>
      </w:r>
    </w:p>
    <w:p w:rsidR="00BC534C" w:rsidRDefault="00BC534C" w:rsidP="00BC534C">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ПРОТИВОДЕЙСТВИЯ КОРРУПЦИИ НА 2016 - 2017 ГОДЫ</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Мероприятия настоящего Национального плана направлены на решение следующих основных задач:</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 N 230-ФЗ "О контроле за соответствием расходов лиц, замещающих государственные должности, и иных лиц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расширение использования механизмов международного сотрудничества для выявления, ареста и возвращения из иностранных юрисдикции активов, полученных в результате совершения преступлений коррупционной направленности;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Правительству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б)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7" w:name="Par76"/>
      <w:bookmarkEnd w:id="7"/>
      <w:r>
        <w:rPr>
          <w:rFonts w:ascii="Arial" w:eastAsiaTheme="minorHAnsi" w:hAnsi="Arial" w:cs="Arial"/>
          <w:sz w:val="20"/>
          <w:szCs w:val="20"/>
          <w:lang w:eastAsia="en-US"/>
        </w:rP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6" w:history="1">
        <w:r>
          <w:rPr>
            <w:rFonts w:ascii="Arial" w:eastAsiaTheme="minorHAnsi" w:hAnsi="Arial" w:cs="Arial"/>
            <w:color w:val="0000FF"/>
            <w:sz w:val="20"/>
            <w:szCs w:val="20"/>
            <w:lang w:eastAsia="en-US"/>
          </w:rPr>
          <w:t>подпунктом "в" пункта 2</w:t>
        </w:r>
      </w:hyperlink>
      <w:r>
        <w:rPr>
          <w:rFonts w:ascii="Arial" w:eastAsiaTheme="minorHAnsi" w:hAnsi="Arial" w:cs="Arial"/>
          <w:sz w:val="20"/>
          <w:szCs w:val="20"/>
          <w:lang w:eastAsia="en-US"/>
        </w:rP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обеспечить взаимодействие государственной информационной системы, указанной в </w:t>
      </w:r>
      <w:hyperlink w:anchor="Par76" w:history="1">
        <w:r>
          <w:rPr>
            <w:rFonts w:ascii="Arial" w:eastAsiaTheme="minorHAnsi" w:hAnsi="Arial" w:cs="Arial"/>
            <w:color w:val="0000FF"/>
            <w:sz w:val="20"/>
            <w:szCs w:val="20"/>
            <w:lang w:eastAsia="en-US"/>
          </w:rPr>
          <w:t>подпункте "в"</w:t>
        </w:r>
      </w:hyperlink>
      <w:r>
        <w:rPr>
          <w:rFonts w:ascii="Arial" w:eastAsiaTheme="minorHAnsi" w:hAnsi="Arial" w:cs="Arial"/>
          <w:sz w:val="20"/>
          <w:szCs w:val="20"/>
          <w:lang w:eastAsia="en-US"/>
        </w:rP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w:t>
      </w:r>
      <w:r>
        <w:rPr>
          <w:rFonts w:ascii="Arial" w:eastAsiaTheme="minorHAnsi" w:hAnsi="Arial" w:cs="Arial"/>
          <w:sz w:val="20"/>
          <w:szCs w:val="20"/>
          <w:lang w:eastAsia="en-US"/>
        </w:rPr>
        <w:lastRenderedPageBreak/>
        <w:t>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обеспечить совместно с Генеральной прокуратурой Российской Федерации подготовку: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7"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природы коррупции и форм ее проявления в современном российском обществе;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содержания конфликта интересов, его форм и способов урегулирования;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снижения уровня бытовой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8" w:history="1">
        <w:r>
          <w:rPr>
            <w:rFonts w:ascii="Arial" w:eastAsiaTheme="minorHAnsi" w:hAnsi="Arial" w:cs="Arial"/>
            <w:color w:val="0000FF"/>
            <w:sz w:val="20"/>
            <w:szCs w:val="20"/>
            <w:lang w:eastAsia="en-US"/>
          </w:rPr>
          <w:t>статьей 13.3</w:t>
        </w:r>
      </w:hyperlink>
      <w:r>
        <w:rPr>
          <w:rFonts w:ascii="Arial" w:eastAsiaTheme="minorHAnsi" w:hAnsi="Arial" w:cs="Arial"/>
          <w:sz w:val="20"/>
          <w:szCs w:val="20"/>
          <w:lang w:eastAsia="en-US"/>
        </w:rPr>
        <w:t xml:space="preserve"> Федерального закона "О противодействии коррупции" мер по предупреждению коррупции и их 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 совместно с Генеральной прокуратурой Российской Федерации рассмотреть вопросы: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введении отдельных антикоррупционных стандартов для работников дочерних хозяйственных обществ государственных корпораций (компаний);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распространении на работников заказчиков, осуществляющих закупки в соответствии с Федеральным </w:t>
      </w:r>
      <w:hyperlink r:id="rId1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 совместно с Генеральной прокуратурой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20" w:history="1">
        <w:r>
          <w:rPr>
            <w:rFonts w:ascii="Arial" w:eastAsiaTheme="minorHAnsi" w:hAnsi="Arial" w:cs="Arial"/>
            <w:color w:val="0000FF"/>
            <w:sz w:val="20"/>
            <w:szCs w:val="20"/>
            <w:lang w:eastAsia="en-US"/>
          </w:rPr>
          <w:t>N 44-ФЗ</w:t>
        </w:r>
      </w:hyperlink>
      <w:r>
        <w:rPr>
          <w:rFonts w:ascii="Arial" w:eastAsiaTheme="minorHAnsi" w:hAnsi="Arial" w:cs="Arial"/>
          <w:sz w:val="20"/>
          <w:szCs w:val="20"/>
          <w:lang w:eastAsia="en-US"/>
        </w:rP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21" w:history="1">
        <w:r>
          <w:rPr>
            <w:rFonts w:ascii="Arial" w:eastAsiaTheme="minorHAnsi" w:hAnsi="Arial" w:cs="Arial"/>
            <w:color w:val="0000FF"/>
            <w:sz w:val="20"/>
            <w:szCs w:val="20"/>
            <w:lang w:eastAsia="en-US"/>
          </w:rPr>
          <w:t>N 223-ФЗ</w:t>
        </w:r>
      </w:hyperlink>
      <w:r>
        <w:rPr>
          <w:rFonts w:ascii="Arial" w:eastAsiaTheme="minorHAnsi" w:hAnsi="Arial" w:cs="Arial"/>
          <w:sz w:val="20"/>
          <w:szCs w:val="20"/>
          <w:lang w:eastAsia="en-US"/>
        </w:rP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состоянии внутреннего финансового аудита в федеральных государственных органах и мерах по его совершенствованию;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о результатах работы институтов гражданского общества по антикоррупционному просвещению;</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организовать: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Генеральной прокуратуре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провести проверки: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22" w:history="1">
        <w:r>
          <w:rPr>
            <w:rFonts w:ascii="Arial" w:eastAsiaTheme="minorHAnsi" w:hAnsi="Arial" w:cs="Arial"/>
            <w:color w:val="0000FF"/>
            <w:sz w:val="20"/>
            <w:szCs w:val="20"/>
            <w:lang w:eastAsia="en-US"/>
          </w:rPr>
          <w:t>статьей 12</w:t>
        </w:r>
      </w:hyperlink>
      <w:r>
        <w:rPr>
          <w:rFonts w:ascii="Arial" w:eastAsiaTheme="minorHAnsi" w:hAnsi="Arial" w:cs="Arial"/>
          <w:sz w:val="20"/>
          <w:szCs w:val="20"/>
          <w:lang w:eastAsia="en-US"/>
        </w:rP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подпункта представить до 1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3" w:history="1">
        <w:r>
          <w:rPr>
            <w:rFonts w:ascii="Arial" w:eastAsiaTheme="minorHAnsi" w:hAnsi="Arial" w:cs="Arial"/>
            <w:color w:val="0000FF"/>
            <w:sz w:val="20"/>
            <w:szCs w:val="20"/>
            <w:lang w:eastAsia="en-US"/>
          </w:rPr>
          <w:t>Конвенции</w:t>
        </w:r>
      </w:hyperlink>
      <w:r>
        <w:rPr>
          <w:rFonts w:ascii="Arial" w:eastAsiaTheme="minorHAnsi" w:hAnsi="Arial" w:cs="Arial"/>
          <w:sz w:val="20"/>
          <w:szCs w:val="20"/>
          <w:lang w:eastAsia="en-US"/>
        </w:rP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провести анализ практики информирования правоохранительными органами в соответствии с требованиями </w:t>
      </w:r>
      <w:hyperlink r:id="rId24" w:history="1">
        <w:r>
          <w:rPr>
            <w:rFonts w:ascii="Arial" w:eastAsiaTheme="minorHAnsi" w:hAnsi="Arial" w:cs="Arial"/>
            <w:color w:val="0000FF"/>
            <w:sz w:val="20"/>
            <w:szCs w:val="20"/>
            <w:lang w:eastAsia="en-US"/>
          </w:rPr>
          <w:t>части 4.1 статьи 5</w:t>
        </w:r>
      </w:hyperlink>
      <w:r>
        <w:rPr>
          <w:rFonts w:ascii="Arial" w:eastAsiaTheme="minorHAnsi" w:hAnsi="Arial" w:cs="Arial"/>
          <w:sz w:val="20"/>
          <w:szCs w:val="20"/>
          <w:lang w:eastAsia="en-US"/>
        </w:rP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w:t>
      </w:r>
      <w:r>
        <w:rPr>
          <w:rFonts w:ascii="Arial" w:eastAsiaTheme="minorHAnsi" w:hAnsi="Arial" w:cs="Arial"/>
          <w:sz w:val="20"/>
          <w:szCs w:val="20"/>
          <w:lang w:eastAsia="en-US"/>
        </w:rPr>
        <w:lastRenderedPageBreak/>
        <w:t>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8" w:name="Par142"/>
      <w:bookmarkEnd w:id="8"/>
      <w:r>
        <w:rPr>
          <w:rFonts w:ascii="Arial" w:eastAsiaTheme="minorHAnsi" w:hAnsi="Arial" w:cs="Arial"/>
          <w:sz w:val="20"/>
          <w:szCs w:val="20"/>
          <w:lang w:eastAsia="en-US"/>
        </w:rP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а) руководителям федеральных государственных органов, за исключением руководителей органов, указанных в </w:t>
      </w:r>
      <w:hyperlink w:anchor="Par149" w:history="1">
        <w:r>
          <w:rPr>
            <w:rFonts w:ascii="Arial" w:eastAsiaTheme="minorHAnsi" w:hAnsi="Arial" w:cs="Arial"/>
            <w:color w:val="0000FF"/>
            <w:sz w:val="20"/>
            <w:szCs w:val="20"/>
            <w:lang w:eastAsia="en-US"/>
          </w:rPr>
          <w:t>подпункте "б"</w:t>
        </w:r>
      </w:hyperlink>
      <w:r>
        <w:rPr>
          <w:rFonts w:ascii="Arial" w:eastAsiaTheme="minorHAnsi" w:hAnsi="Arial" w:cs="Arial"/>
          <w:sz w:val="20"/>
          <w:szCs w:val="20"/>
          <w:lang w:eastAsia="en-US"/>
        </w:rP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9" w:name="Par149"/>
      <w:bookmarkEnd w:id="9"/>
      <w:r>
        <w:rPr>
          <w:rFonts w:ascii="Arial" w:eastAsiaTheme="minorHAnsi" w:hAnsi="Arial" w:cs="Arial"/>
          <w:sz w:val="20"/>
          <w:szCs w:val="20"/>
          <w:lang w:eastAsia="en-US"/>
        </w:rP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ar142" w:history="1">
        <w:r>
          <w:rPr>
            <w:rFonts w:ascii="Arial" w:eastAsiaTheme="minorHAnsi" w:hAnsi="Arial" w:cs="Arial"/>
            <w:color w:val="0000FF"/>
            <w:sz w:val="20"/>
            <w:szCs w:val="20"/>
            <w:lang w:eastAsia="en-US"/>
          </w:rPr>
          <w:t>пункта 5</w:t>
        </w:r>
      </w:hyperlink>
      <w:r>
        <w:rPr>
          <w:rFonts w:ascii="Arial" w:eastAsiaTheme="minorHAnsi" w:hAnsi="Arial" w:cs="Arial"/>
          <w:sz w:val="20"/>
          <w:szCs w:val="20"/>
          <w:lang w:eastAsia="en-US"/>
        </w:rPr>
        <w:t xml:space="preserve"> настоящего Национального плана.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bookmarkStart w:id="10" w:name="Par153"/>
      <w:bookmarkEnd w:id="10"/>
      <w:r>
        <w:rPr>
          <w:rFonts w:ascii="Arial" w:eastAsiaTheme="minorHAnsi" w:hAnsi="Arial" w:cs="Arial"/>
          <w:sz w:val="20"/>
          <w:szCs w:val="20"/>
          <w:lang w:eastAsia="en-US"/>
        </w:rP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оказывать содействие органам местного самоуправления в организации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з) продолжить работу:</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ar33" w:history="1">
        <w:r>
          <w:rPr>
            <w:rFonts w:ascii="Arial" w:eastAsiaTheme="minorHAnsi" w:hAnsi="Arial" w:cs="Arial"/>
            <w:color w:val="0000FF"/>
            <w:sz w:val="20"/>
            <w:szCs w:val="20"/>
            <w:lang w:eastAsia="en-US"/>
          </w:rPr>
          <w:t>пунктом 11</w:t>
        </w:r>
      </w:hyperlink>
      <w:r>
        <w:rPr>
          <w:rFonts w:ascii="Arial" w:eastAsiaTheme="minorHAnsi" w:hAnsi="Arial" w:cs="Arial"/>
          <w:sz w:val="20"/>
          <w:szCs w:val="20"/>
          <w:lang w:eastAsia="en-US"/>
        </w:rPr>
        <w:t xml:space="preserve"> Указа Президента Российской Федерации от 1 апреля 2016 г. N 147 "О Национальном плане противодействия коррупции на 2016 - 2017 годы".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15 сентября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12. Министерству внутренних дел Российской Федерации осуществить комплекс мероприятий, направленных: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декабря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Министерству иностранных дел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АТЭС по борьбе с коррупцией и обеспечению транспарентности;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"Группы двадцати";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рабочей группы по противодействию коррупции государств - участников БРИКС;</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осуществлять: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сотрудничество с Международной антикоррупционной академией;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августа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Министерству юстиции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w:t>
      </w:r>
      <w:r>
        <w:rPr>
          <w:rFonts w:ascii="Arial" w:eastAsiaTheme="minorHAnsi" w:hAnsi="Arial" w:cs="Arial"/>
          <w:sz w:val="20"/>
          <w:szCs w:val="20"/>
          <w:lang w:eastAsia="en-US"/>
        </w:rPr>
        <w:lastRenderedPageBreak/>
        <w:t xml:space="preserve">преступлениями коррупционной направленности, предложения о внесении в Уголовно-процессуальный </w:t>
      </w:r>
      <w:hyperlink r:id="rId25" w:history="1">
        <w:r>
          <w:rPr>
            <w:rFonts w:ascii="Arial" w:eastAsiaTheme="minorHAnsi" w:hAnsi="Arial" w:cs="Arial"/>
            <w:color w:val="0000FF"/>
            <w:sz w:val="20"/>
            <w:szCs w:val="20"/>
            <w:lang w:eastAsia="en-US"/>
          </w:rPr>
          <w:t>кодекс</w:t>
        </w:r>
      </w:hyperlink>
      <w:r>
        <w:rPr>
          <w:rFonts w:ascii="Arial" w:eastAsiaTheme="minorHAnsi" w:hAnsi="Arial" w:cs="Arial"/>
          <w:sz w:val="20"/>
          <w:szCs w:val="20"/>
          <w:lang w:eastAsia="en-US"/>
        </w:rP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Рекомендовать органам исполнительной власти Республики Татарстан обеспечить проведение: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Рекомендовать Государственной корпорации по атомной энергии "Росатом" совместно с другими государственными корпорациями (компаниями):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мониторинг реализации мер по противодействию коррупции в государственных корпорациях (компаниях) и их дочерних хозяйственных обществах.</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июня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w:t>
      </w:r>
      <w:r>
        <w:rPr>
          <w:rFonts w:ascii="Arial" w:eastAsiaTheme="minorHAnsi" w:hAnsi="Arial" w:cs="Arial"/>
          <w:sz w:val="20"/>
          <w:szCs w:val="20"/>
          <w:lang w:eastAsia="en-US"/>
        </w:rPr>
        <w:lastRenderedPageBreak/>
        <w:t>антикоррупционной тематике, по программе, согласованной с Администрацией Президента Российской Федерации.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марта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ноября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Рекомендовать Общероссийской общественной организации "Союз журналистов России":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июля 2017 г.</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22. Рекомендовать:</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BC534C" w:rsidRDefault="00BC534C" w:rsidP="00BC534C">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Доклад о результатах исполнения настоящего пункта представить до 1 сентября 2017 г.</w:t>
      </w: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autoSpaceDE w:val="0"/>
        <w:autoSpaceDN w:val="0"/>
        <w:adjustRightInd w:val="0"/>
        <w:ind w:firstLine="540"/>
        <w:jc w:val="both"/>
        <w:rPr>
          <w:rFonts w:ascii="Arial" w:eastAsiaTheme="minorHAnsi" w:hAnsi="Arial" w:cs="Arial"/>
          <w:sz w:val="20"/>
          <w:szCs w:val="20"/>
          <w:lang w:eastAsia="en-US"/>
        </w:rPr>
      </w:pPr>
    </w:p>
    <w:p w:rsidR="00BC534C" w:rsidRDefault="00BC534C" w:rsidP="00BC534C">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C534C"/>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C1258"/>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98BFCFE32921D6AB540F55E9A6760DD0A06BC6A66C6A441ACD50CE66EE89C592BFBD4264D2A3BA0FtDK" TargetMode="External"/><Relationship Id="rId13" Type="http://schemas.openxmlformats.org/officeDocument/2006/relationships/hyperlink" Target="consultantplus://offline/ref=6298BFCFE32921D6AB540F55E9A6760DD0A06BC7A4606A441ACD50CE660EtEK" TargetMode="External"/><Relationship Id="rId18" Type="http://schemas.openxmlformats.org/officeDocument/2006/relationships/hyperlink" Target="consultantplus://offline/ref=6298BFCFE32921D6AB540F55E9A6760DD0A06BC6A66C6A441ACD50CE66EE89C592BFBD4A06t4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298BFCFE32921D6AB540F55E9A6760DD0A06CCEAA6A6A441ACD50CE660EtEK" TargetMode="External"/><Relationship Id="rId7" Type="http://schemas.openxmlformats.org/officeDocument/2006/relationships/hyperlink" Target="http://www.consultant.ru" TargetMode="External"/><Relationship Id="rId12" Type="http://schemas.openxmlformats.org/officeDocument/2006/relationships/hyperlink" Target="consultantplus://offline/ref=6298BFCFE32921D6AB540246FCA6760DD6A569CFAB616A441ACD50CE66EE89C592BFBD4264D2A3B90FtDK" TargetMode="External"/><Relationship Id="rId17" Type="http://schemas.openxmlformats.org/officeDocument/2006/relationships/hyperlink" Target="consultantplus://offline/ref=6298BFCFE32921D6AB540F55E9A6760DD0A06BC6A66C6A441ACD50CE66EE89C592BFBD4106tCK" TargetMode="External"/><Relationship Id="rId25" Type="http://schemas.openxmlformats.org/officeDocument/2006/relationships/hyperlink" Target="consultantplus://offline/ref=6298BFCFE32921D6AB540F55E9A6760DD0A36AC2AB616A441ACD50CE660EtEK" TargetMode="External"/><Relationship Id="rId2" Type="http://schemas.openxmlformats.org/officeDocument/2006/relationships/numbering" Target="numbering.xml"/><Relationship Id="rId16" Type="http://schemas.openxmlformats.org/officeDocument/2006/relationships/hyperlink" Target="consultantplus://offline/ref=6298BFCFE32921D6AB540F55E9A6760DD3A968C6A06A6A441ACD50CE66EE89C592BFBD4264D2A3BD0Ft1K" TargetMode="External"/><Relationship Id="rId20" Type="http://schemas.openxmlformats.org/officeDocument/2006/relationships/hyperlink" Target="consultantplus://offline/ref=6298BFCFE32921D6AB540F55E9A6760DD0A36AC5AA616A441ACD50CE660EtE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298BFCFE32921D6AB540F55E9A6760DD0A968C3AA6A6A441ACD50CE66EE89C592BFBD4064DA0At3K" TargetMode="External"/><Relationship Id="rId24" Type="http://schemas.openxmlformats.org/officeDocument/2006/relationships/hyperlink" Target="consultantplus://offline/ref=6298BFCFE32921D6AB540F55E9A6760DD0A06BC6A66C6A441ACD50CE66EE89C592BFBD04t4K" TargetMode="External"/><Relationship Id="rId5" Type="http://schemas.openxmlformats.org/officeDocument/2006/relationships/settings" Target="settings.xml"/><Relationship Id="rId15" Type="http://schemas.openxmlformats.org/officeDocument/2006/relationships/hyperlink" Target="consultantplus://offline/ref=6298BFCFE32921D6AB540F55E9A6760DD3A963C5A56D6A441ACD50CE660EtEK" TargetMode="External"/><Relationship Id="rId23" Type="http://schemas.openxmlformats.org/officeDocument/2006/relationships/hyperlink" Target="consultantplus://offline/ref=6298BFCFE32921D6AB540F55E9A6760DD3A36AC7A6696A441ACD50CE660EtEK" TargetMode="External"/><Relationship Id="rId10" Type="http://schemas.openxmlformats.org/officeDocument/2006/relationships/hyperlink" Target="consultantplus://offline/ref=6298BFCFE32921D6AB540F55E9A6760DD0A36AC5AA616A441ACD50CE66EE89C592BFBD4264D3A4B90FtDK" TargetMode="External"/><Relationship Id="rId19" Type="http://schemas.openxmlformats.org/officeDocument/2006/relationships/hyperlink" Target="consultantplus://offline/ref=6298BFCFE32921D6AB540F55E9A6760DD0A36AC5AA616A441ACD50CE660EtEK" TargetMode="External"/><Relationship Id="rId4" Type="http://schemas.microsoft.com/office/2007/relationships/stylesWithEffects" Target="stylesWithEffects.xml"/><Relationship Id="rId9" Type="http://schemas.openxmlformats.org/officeDocument/2006/relationships/hyperlink" Target="consultantplus://offline/ref=6298BFCFE32921D6AB540F55E9A6760DD3A36CC7A1686A441ACD50CE66EE89C592BFBD4264D2A3BB0Ft1K" TargetMode="External"/><Relationship Id="rId14" Type="http://schemas.openxmlformats.org/officeDocument/2006/relationships/hyperlink" Target="consultantplus://offline/ref=6298BFCFE32921D6AB540F55E9A6760DD3A36CC7A1686A441ACD50CE66EE89C592BFBD4264D2A3BB0Ft1K" TargetMode="External"/><Relationship Id="rId22" Type="http://schemas.openxmlformats.org/officeDocument/2006/relationships/hyperlink" Target="consultantplus://offline/ref=6298BFCFE32921D6AB540F55E9A6760DD0A06BC6A66C6A441ACD50CE66EE89C592BFBD4106tC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15C75-02A3-49A4-9AF2-8ED78FBA4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7251</Words>
  <Characters>41335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USER</cp:lastModifiedBy>
  <cp:revision>2</cp:revision>
  <cp:lastPrinted>2017-11-27T07:43:00Z</cp:lastPrinted>
  <dcterms:created xsi:type="dcterms:W3CDTF">2023-10-13T04:47:00Z</dcterms:created>
  <dcterms:modified xsi:type="dcterms:W3CDTF">2023-10-13T04:47:00Z</dcterms:modified>
</cp:coreProperties>
</file>